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904D99" w14:paraId="2C078E63" wp14:textId="087B5809">
      <w:pPr>
        <w:pStyle w:val="Normal"/>
        <w:ind w:left="2880"/>
      </w:pPr>
      <w:r w:rsidR="705B7A6F">
        <w:drawing>
          <wp:inline xmlns:wp14="http://schemas.microsoft.com/office/word/2010/wordprocessingDrawing" wp14:editId="6081D00C" wp14:anchorId="6CDEE608">
            <wp:extent cx="2085975" cy="625792"/>
            <wp:effectExtent l="5302" t="18155" r="5302" b="18155"/>
            <wp:docPr id="1190096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5f4ef662a04d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 flipH="0" flipV="0">
                      <a:off x="0" y="0"/>
                      <a:ext cx="2085975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CE1D16" w:rsidP="4B904D99" w:rsidRDefault="03CE1D16" w14:paraId="527498BB" w14:textId="707C38BD">
      <w:pPr>
        <w:pStyle w:val="Normal"/>
        <w:ind w:left="2880"/>
        <w:rPr>
          <w:sz w:val="28"/>
          <w:szCs w:val="28"/>
        </w:rPr>
      </w:pPr>
      <w:r w:rsidRPr="4B904D99" w:rsidR="03CE1D16">
        <w:rPr>
          <w:sz w:val="28"/>
          <w:szCs w:val="28"/>
        </w:rPr>
        <w:t>PRODUCT SAFETY DATA SHEET</w:t>
      </w:r>
    </w:p>
    <w:p w:rsidR="3A4200B4" w:rsidP="4B904D99" w:rsidRDefault="3A4200B4" w14:paraId="7AEF68BD" w14:textId="41FFAC23">
      <w:pPr>
        <w:pStyle w:val="Normal"/>
        <w:spacing w:after="0" w:afterAutospacing="off"/>
        <w:ind w:left="0"/>
      </w:pPr>
      <w:r w:rsidR="3A4200B4">
        <w:rPr/>
        <w:t xml:space="preserve">EcoCentricNow LLC has prepared this Product Safety Data Sheet to </w:t>
      </w:r>
      <w:r w:rsidR="3A4200B4">
        <w:rPr/>
        <w:t>provide</w:t>
      </w:r>
      <w:r w:rsidR="3A4200B4">
        <w:rPr/>
        <w:t xml:space="preserve"> information on the </w:t>
      </w:r>
      <w:r w:rsidR="664CBE53">
        <w:rPr/>
        <w:t xml:space="preserve">product below. The information </w:t>
      </w:r>
      <w:r w:rsidR="673FB91F">
        <w:rPr/>
        <w:t>and</w:t>
      </w:r>
      <w:r w:rsidR="664CBE53">
        <w:rPr/>
        <w:t xml:space="preserve"> recommendations set forth </w:t>
      </w:r>
      <w:r w:rsidR="664CBE53">
        <w:rPr/>
        <w:t>herein</w:t>
      </w:r>
      <w:r w:rsidR="664CBE53">
        <w:rPr/>
        <w:t xml:space="preserve"> are made in good faith, for information only, and are believed to be </w:t>
      </w:r>
      <w:r w:rsidR="664CBE53">
        <w:rPr/>
        <w:t>ac</w:t>
      </w:r>
      <w:r w:rsidR="0A267A60">
        <w:rPr/>
        <w:t>curate</w:t>
      </w:r>
      <w:r w:rsidR="0A267A60">
        <w:rPr/>
        <w:t>. However, EcoCentricNow LLC</w:t>
      </w:r>
      <w:r w:rsidR="6FCD0F4A">
        <w:rPr/>
        <w:t xml:space="preserve"> makes no warranty, either expressed or implied, with respect to this information and </w:t>
      </w:r>
      <w:r w:rsidR="6FCD0F4A">
        <w:rPr/>
        <w:t>disclaims</w:t>
      </w:r>
      <w:r w:rsidR="6FCD0F4A">
        <w:rPr/>
        <w:t xml:space="preserve"> all liability from reference on it. </w:t>
      </w:r>
    </w:p>
    <w:p w:rsidR="4B904D99" w:rsidP="4B904D99" w:rsidRDefault="4B904D99" w14:paraId="44477659" w14:textId="3D02CDFB">
      <w:pPr>
        <w:pStyle w:val="Normal"/>
        <w:spacing w:after="0" w:afterAutospacing="off"/>
        <w:ind w:left="0"/>
        <w:rPr>
          <w:b w:val="1"/>
          <w:bCs w:val="1"/>
        </w:rPr>
      </w:pPr>
    </w:p>
    <w:p w:rsidR="76A4EDB5" w:rsidP="4B904D99" w:rsidRDefault="76A4EDB5" w14:paraId="24F9053A" w14:textId="29585F9E">
      <w:pPr>
        <w:pStyle w:val="Normal"/>
        <w:spacing w:after="0" w:afterAutospacing="off"/>
        <w:ind w:left="0"/>
        <w:rPr>
          <w:b w:val="1"/>
          <w:bCs w:val="1"/>
        </w:rPr>
      </w:pPr>
      <w:r w:rsidRPr="4B904D99" w:rsidR="76A4EDB5">
        <w:rPr>
          <w:b w:val="1"/>
          <w:bCs w:val="1"/>
        </w:rPr>
        <w:t>Product Name:  Shake Light 40B Rechargeable Flashlight</w:t>
      </w:r>
    </w:p>
    <w:p w:rsidR="4B904D99" w:rsidP="4B904D99" w:rsidRDefault="4B904D99" w14:paraId="515A8EB1" w14:textId="0158073D">
      <w:pPr>
        <w:pStyle w:val="Normal"/>
        <w:spacing w:after="0" w:afterAutospacing="off"/>
        <w:ind w:left="0"/>
        <w:rPr>
          <w:b w:val="1"/>
          <w:bCs w:val="1"/>
        </w:rPr>
      </w:pPr>
    </w:p>
    <w:p w:rsidR="3ACD6334" w:rsidP="4B904D99" w:rsidRDefault="3ACD6334" w14:paraId="40480A10" w14:textId="1A879B16">
      <w:pPr>
        <w:pStyle w:val="Normal"/>
        <w:spacing w:after="0" w:afterAutospacing="off"/>
        <w:ind w:left="0"/>
        <w:rPr>
          <w:b w:val="1"/>
          <w:bCs w:val="1"/>
        </w:rPr>
      </w:pPr>
      <w:r w:rsidRPr="4B904D99" w:rsidR="3ACD6334">
        <w:rPr>
          <w:b w:val="1"/>
          <w:bCs w:val="1"/>
        </w:rPr>
        <w:t>Section 1 – Manufacturer Information</w:t>
      </w:r>
    </w:p>
    <w:p w:rsidR="3ACD6334" w:rsidP="4B904D99" w:rsidRDefault="3ACD6334" w14:paraId="27CA3B37" w14:textId="3D8B2809">
      <w:pPr>
        <w:pStyle w:val="Normal"/>
        <w:spacing w:after="0" w:afterAutospacing="off" w:line="240" w:lineRule="auto"/>
        <w:ind w:left="0"/>
      </w:pPr>
      <w:r w:rsidR="3ACD6334">
        <w:rPr/>
        <w:t>EcoCentricNow LLC (ECN)</w:t>
      </w:r>
    </w:p>
    <w:p w:rsidR="3ACD6334" w:rsidP="4B904D99" w:rsidRDefault="3ACD6334" w14:paraId="65F3DDD8" w14:textId="7B89249C">
      <w:pPr>
        <w:pStyle w:val="Normal"/>
        <w:spacing w:after="0" w:afterAutospacing="off" w:line="240" w:lineRule="auto"/>
        <w:ind w:left="0"/>
      </w:pPr>
      <w:r w:rsidR="3ACD6334">
        <w:rPr/>
        <w:t>PO Box 1057</w:t>
      </w:r>
    </w:p>
    <w:p w:rsidR="3ACD6334" w:rsidP="4B904D99" w:rsidRDefault="3ACD6334" w14:paraId="7A924A43" w14:textId="0F19A360">
      <w:pPr>
        <w:pStyle w:val="Normal"/>
        <w:spacing w:after="0" w:afterAutospacing="off" w:line="240" w:lineRule="auto"/>
        <w:ind w:left="0"/>
      </w:pPr>
      <w:r w:rsidR="3ACD6334">
        <w:rPr/>
        <w:t xml:space="preserve">Ocean </w:t>
      </w:r>
      <w:r w:rsidR="3ACD6334">
        <w:rPr/>
        <w:t>View,</w:t>
      </w:r>
      <w:r w:rsidR="3ACD6334">
        <w:rPr/>
        <w:t xml:space="preserve"> DE 19970</w:t>
      </w:r>
    </w:p>
    <w:p w:rsidR="31B09733" w:rsidP="4B904D99" w:rsidRDefault="31B09733" w14:paraId="017575C3" w14:textId="700EBC98">
      <w:pPr>
        <w:pStyle w:val="Normal"/>
        <w:spacing w:after="0" w:afterAutospacing="off"/>
        <w:ind w:left="0"/>
      </w:pPr>
      <w:r w:rsidR="31B09733">
        <w:rPr/>
        <w:t>Tel. 888-828-1405</w:t>
      </w:r>
    </w:p>
    <w:p w:rsidR="4B904D99" w:rsidP="4B904D99" w:rsidRDefault="4B904D99" w14:paraId="2BB7E245" w14:textId="17DA149F">
      <w:pPr>
        <w:pStyle w:val="Normal"/>
        <w:spacing w:after="0" w:afterAutospacing="off"/>
        <w:ind w:left="0"/>
        <w:rPr>
          <w:b w:val="1"/>
          <w:bCs w:val="1"/>
        </w:rPr>
      </w:pPr>
    </w:p>
    <w:p w:rsidR="2D5C8FF2" w:rsidP="4B904D99" w:rsidRDefault="2D5C8FF2" w14:paraId="03090B3D" w14:textId="37435813">
      <w:pPr>
        <w:pStyle w:val="Normal"/>
        <w:spacing w:after="0" w:afterAutospacing="off"/>
        <w:ind w:left="0"/>
        <w:rPr>
          <w:b w:val="1"/>
          <w:bCs w:val="1"/>
        </w:rPr>
      </w:pPr>
      <w:r w:rsidRPr="4B904D99" w:rsidR="2D5C8FF2">
        <w:rPr>
          <w:b w:val="1"/>
          <w:bCs w:val="1"/>
        </w:rPr>
        <w:t>Section 2 – Hazards Identification</w:t>
      </w:r>
    </w:p>
    <w:p w:rsidR="524E2FE5" w:rsidP="4B904D99" w:rsidRDefault="524E2FE5" w14:paraId="4C57162A" w14:textId="63817FBB">
      <w:pPr>
        <w:pStyle w:val="Normal"/>
        <w:spacing w:after="0" w:afterAutospacing="off"/>
        <w:ind w:left="0"/>
      </w:pPr>
      <w:r w:rsidR="524E2FE5">
        <w:rPr/>
        <w:t xml:space="preserve">The flashlight is a manufactured article as described in 29 CFR 1910.1200. During normal use, </w:t>
      </w:r>
      <w:r w:rsidR="2FC6B22F">
        <w:rPr/>
        <w:t xml:space="preserve">all components are </w:t>
      </w:r>
      <w:r w:rsidR="524E2FE5">
        <w:rPr/>
        <w:t>fully contained within the flashlight</w:t>
      </w:r>
      <w:r w:rsidR="680500FC">
        <w:rPr/>
        <w:t xml:space="preserve"> body</w:t>
      </w:r>
      <w:r w:rsidR="3AD719BB">
        <w:rPr/>
        <w:t xml:space="preserve"> which is</w:t>
      </w:r>
      <w:r w:rsidR="15727361">
        <w:rPr/>
        <w:t xml:space="preserve"> permanently</w:t>
      </w:r>
      <w:r w:rsidR="3AD719BB">
        <w:rPr/>
        <w:t xml:space="preserve"> sealed against entry</w:t>
      </w:r>
      <w:r w:rsidR="524E2FE5">
        <w:rPr/>
        <w:t xml:space="preserve">. </w:t>
      </w:r>
      <w:r w:rsidR="3A677FB0">
        <w:rPr/>
        <w:t xml:space="preserve">If exposed to a fire, explosion, abuse, misuse, or improper disposal resulting in </w:t>
      </w:r>
      <w:r w:rsidR="1245536D">
        <w:rPr/>
        <w:t xml:space="preserve">the </w:t>
      </w:r>
      <w:r w:rsidR="3A677FB0">
        <w:rPr/>
        <w:t xml:space="preserve">breaching of the flashlight case, hazardous materials </w:t>
      </w:r>
      <w:r w:rsidR="3B0E78EF">
        <w:rPr/>
        <w:t xml:space="preserve">associated with battery rupture </w:t>
      </w:r>
      <w:r w:rsidR="3A677FB0">
        <w:rPr/>
        <w:t>may be release</w:t>
      </w:r>
      <w:r w:rsidR="2602ECEF">
        <w:rPr/>
        <w:t xml:space="preserve">d. Exposure to the ingredients contained within </w:t>
      </w:r>
      <w:r w:rsidR="26A9E62E">
        <w:rPr/>
        <w:t xml:space="preserve">the battery </w:t>
      </w:r>
      <w:r w:rsidR="2602ECEF">
        <w:rPr/>
        <w:t xml:space="preserve">or </w:t>
      </w:r>
      <w:r w:rsidR="1A783550">
        <w:rPr/>
        <w:t xml:space="preserve">its </w:t>
      </w:r>
      <w:r w:rsidR="2602ECEF">
        <w:rPr/>
        <w:t xml:space="preserve">combustion could be harmful. </w:t>
      </w:r>
    </w:p>
    <w:p w:rsidR="4B904D99" w:rsidP="4B904D99" w:rsidRDefault="4B904D99" w14:paraId="06C6A6CC" w14:textId="6FF0BF12">
      <w:pPr>
        <w:pStyle w:val="Normal"/>
        <w:spacing w:after="0" w:afterAutospacing="off"/>
        <w:ind w:left="0"/>
      </w:pPr>
    </w:p>
    <w:p w:rsidR="49DCA8FB" w:rsidP="4B904D99" w:rsidRDefault="49DCA8FB" w14:paraId="10F09375" w14:textId="77D4AA24">
      <w:pPr>
        <w:pStyle w:val="Normal"/>
        <w:spacing w:after="0" w:afterAutospacing="off"/>
        <w:ind w:left="0"/>
        <w:rPr>
          <w:b w:val="1"/>
          <w:bCs w:val="1"/>
        </w:rPr>
      </w:pPr>
      <w:r w:rsidRPr="4B904D99" w:rsidR="49DCA8FB">
        <w:rPr>
          <w:b w:val="1"/>
          <w:bCs w:val="1"/>
        </w:rPr>
        <w:t>Material o</w:t>
      </w:r>
      <w:r w:rsidRPr="4B904D99" w:rsidR="1CADB3C0">
        <w:rPr>
          <w:b w:val="1"/>
          <w:bCs w:val="1"/>
        </w:rPr>
        <w:t>r</w:t>
      </w:r>
      <w:r w:rsidRPr="4B904D99" w:rsidR="49DCA8FB">
        <w:rPr>
          <w:b w:val="1"/>
          <w:bCs w:val="1"/>
        </w:rPr>
        <w:t xml:space="preserve"> Ingredient</w:t>
      </w:r>
    </w:p>
    <w:p w:rsidR="57A2382A" w:rsidP="4B904D99" w:rsidRDefault="57A2382A" w14:paraId="33A2CF95" w14:textId="60C503CB">
      <w:pPr>
        <w:pStyle w:val="Normal"/>
        <w:spacing w:after="0" w:afterAutospacing="off"/>
        <w:ind w:left="0"/>
      </w:pPr>
      <w:r w:rsidR="57A2382A">
        <w:rPr/>
        <w:t xml:space="preserve">ABS plastic housing, internal </w:t>
      </w:r>
      <w:r w:rsidR="57A2382A">
        <w:rPr/>
        <w:t>powercell</w:t>
      </w:r>
      <w:r w:rsidR="57A2382A">
        <w:rPr/>
        <w:t>, and lens cap</w:t>
      </w:r>
    </w:p>
    <w:p w:rsidR="57A2382A" w:rsidP="4B904D99" w:rsidRDefault="57A2382A" w14:paraId="42640E0B" w14:textId="7C73AF72">
      <w:pPr>
        <w:pStyle w:val="Normal"/>
        <w:spacing w:after="0" w:afterAutospacing="off"/>
        <w:ind w:left="0"/>
      </w:pPr>
      <w:r w:rsidR="57A2382A">
        <w:rPr/>
        <w:t>GPPS plastic lens</w:t>
      </w:r>
    </w:p>
    <w:p w:rsidR="538C84FA" w:rsidP="4B904D99" w:rsidRDefault="538C84FA" w14:paraId="78D14F43" w14:textId="25A873C9">
      <w:pPr>
        <w:pStyle w:val="Normal"/>
        <w:spacing w:after="0" w:afterAutospacing="off"/>
        <w:ind w:left="0"/>
      </w:pPr>
      <w:r w:rsidR="538C84FA">
        <w:rPr/>
        <w:t>Neodymium magnet</w:t>
      </w:r>
    </w:p>
    <w:p w:rsidR="54EC028D" w:rsidP="4B904D99" w:rsidRDefault="54EC028D" w14:paraId="6E477251" w14:textId="4544072D">
      <w:pPr>
        <w:pStyle w:val="Normal"/>
        <w:spacing w:after="0" w:afterAutospacing="off"/>
        <w:ind w:left="0"/>
      </w:pPr>
      <w:r w:rsidR="54EC028D">
        <w:rPr/>
        <w:t>NiMH battery</w:t>
      </w:r>
    </w:p>
    <w:p w:rsidR="4B904D99" w:rsidP="4B904D99" w:rsidRDefault="4B904D99" w14:paraId="75DFA661" w14:textId="55E1CD6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</w:p>
    <w:p w:rsidR="1E3B740D" w:rsidP="4B904D99" w:rsidRDefault="1E3B740D" w14:paraId="7EA66DA9" w14:textId="2B898D5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4B904D99" w:rsidR="1E3B740D">
        <w:rPr>
          <w:b w:val="1"/>
          <w:bCs w:val="1"/>
        </w:rPr>
        <w:t xml:space="preserve">Section 3 – </w:t>
      </w:r>
      <w:r w:rsidRPr="4B904D99" w:rsidR="64523217">
        <w:rPr>
          <w:b w:val="1"/>
          <w:bCs w:val="1"/>
        </w:rPr>
        <w:t>Fire and Explosion Hazard Data</w:t>
      </w:r>
    </w:p>
    <w:p w:rsidR="64523217" w:rsidP="4B904D99" w:rsidRDefault="64523217" w14:paraId="2D7B42BE" w14:textId="3C57F6E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64523217">
        <w:rPr>
          <w:b w:val="0"/>
          <w:bCs w:val="0"/>
        </w:rPr>
        <w:t xml:space="preserve">In case of fire, any class of extinguishing agent may be used on the flashlight or its </w:t>
      </w:r>
      <w:r w:rsidR="64523217">
        <w:rPr>
          <w:b w:val="0"/>
          <w:bCs w:val="0"/>
        </w:rPr>
        <w:t xml:space="preserve">packaging materials. </w:t>
      </w:r>
    </w:p>
    <w:p w:rsidR="4B904D99" w:rsidP="4B904D99" w:rsidRDefault="4B904D99" w14:paraId="63B0AD2D" w14:textId="6B8E6C5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</w:p>
    <w:p w:rsidR="4428D6D2" w:rsidP="4B904D99" w:rsidRDefault="4428D6D2" w14:paraId="73DEAD5F" w14:textId="5BC6BB1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4B904D99" w:rsidR="4428D6D2">
        <w:rPr>
          <w:b w:val="1"/>
          <w:bCs w:val="1"/>
        </w:rPr>
        <w:t>Section 4 – Health Hazard Data</w:t>
      </w:r>
    </w:p>
    <w:p w:rsidR="619BFC7A" w:rsidP="4B904D99" w:rsidRDefault="619BFC7A" w14:paraId="0D328647" w14:textId="28136A6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619BFC7A">
        <w:rPr>
          <w:b w:val="0"/>
          <w:bCs w:val="0"/>
        </w:rPr>
        <w:t xml:space="preserve">Under normal circumstances, the flashlight is not hazardous. </w:t>
      </w:r>
    </w:p>
    <w:p w:rsidR="4B904D99" w:rsidP="4B904D99" w:rsidRDefault="4B904D99" w14:paraId="19AB168B" w14:textId="32EDF28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64B6A944" w:rsidP="4B904D99" w:rsidRDefault="64B6A944" w14:paraId="298641A5" w14:textId="3813D0E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Ingestion: Not a 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likely means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exposure</w:t>
      </w:r>
    </w:p>
    <w:p w:rsidR="64B6A944" w:rsidP="4B904D99" w:rsidRDefault="64B6A944" w14:paraId="52801E92" w14:textId="292F7CB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Inhalation: Not a 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likely means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exposure</w:t>
      </w:r>
    </w:p>
    <w:p w:rsidR="64B6A944" w:rsidP="4B904D99" w:rsidRDefault="64B6A944" w14:paraId="2C55A4CC" w14:textId="5653563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Skin Absorption: Not a 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likely means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exposure</w:t>
      </w:r>
    </w:p>
    <w:p w:rsidR="64B6A944" w:rsidP="4B904D99" w:rsidRDefault="64B6A944" w14:paraId="092EDB67" w14:textId="319C450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Skin Contact: Not a 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likely means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exposure</w:t>
      </w:r>
    </w:p>
    <w:p w:rsidR="64B6A944" w:rsidP="4B904D99" w:rsidRDefault="64B6A944" w14:paraId="34C12A4D" w14:textId="071D661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Eye Contact: Not a 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likely means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exposure. </w:t>
      </w:r>
      <w:r w:rsidRPr="4B904D99" w:rsidR="6BB561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Flashlight b</w:t>
      </w:r>
      <w:r w:rsidRPr="4B904D99" w:rsidR="64B6A9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eam should not be pointed into eyes. </w:t>
      </w:r>
    </w:p>
    <w:p w:rsidR="4B904D99" w:rsidP="4B904D99" w:rsidRDefault="4B904D99" w14:paraId="72EEA487" w14:textId="4032B81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3D82C11" w:rsidP="4B904D99" w:rsidRDefault="13D82C11" w14:paraId="3247965C" w14:textId="1F63408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04D99" w:rsidR="13D82C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5 – Precautions for Safe Handling and Use</w:t>
      </w:r>
    </w:p>
    <w:p w:rsidR="13D82C11" w:rsidP="4B904D99" w:rsidRDefault="13D82C11" w14:paraId="4B9F8D1A" w14:textId="697C68C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4B904D99" w:rsidR="13D82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Magnetic Field: A magnetic field surrounds the Shake Flashlight. Do Not place the flashlight within 16” (40cm) of computers, monitors, televisions, or magnetic storage media. Increased distances may be necessary for </w:t>
      </w:r>
      <w:r w:rsidRPr="4B904D99" w:rsidR="13D82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highly sensitive</w:t>
      </w:r>
      <w:r w:rsidRPr="4B904D99" w:rsidR="13D82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compasses used in </w:t>
      </w:r>
      <w:r w:rsidRPr="4B904D99" w:rsidR="13D82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aircraft</w:t>
      </w:r>
      <w:r w:rsidRPr="4B904D99" w:rsidR="13D82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boats, or magnetically operated devices including pacemakers. Keep the flashlight at least 2” (5cm) away from gear driven watches and clocks.</w:t>
      </w:r>
    </w:p>
    <w:p w:rsidR="4B904D99" w:rsidP="4B904D99" w:rsidRDefault="4B904D99" w14:paraId="607D9DEF" w14:textId="67B3A1D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BF0FE22" w:rsidP="4B904D99" w:rsidRDefault="7BF0FE22" w14:paraId="406D2D2D" w14:textId="7398E12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904D99" w:rsidR="7BF0FE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Storage</w:t>
      </w:r>
      <w:r w:rsidRPr="4B904D99" w:rsidR="7BF0FE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Store</w:t>
      </w:r>
      <w:r w:rsidRPr="4B904D99" w:rsidR="7BF0FE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 cool location</w:t>
      </w:r>
      <w:r w:rsidRPr="4B904D99" w:rsidR="0D3092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Minimum and Maximum</w:t>
      </w:r>
      <w:r w:rsidR="7BF0FE22">
        <w:rPr/>
        <w:t xml:space="preserve"> Temperature</w:t>
      </w:r>
      <w:r w:rsidR="62733E68">
        <w:rPr/>
        <w:t xml:space="preserve"> Range</w:t>
      </w:r>
      <w:r w:rsidR="7BF0FE22">
        <w:rPr/>
        <w:t xml:space="preserve"> -4°F (-20°C) to 176°F (80°C)</w:t>
      </w:r>
    </w:p>
    <w:p w:rsidR="4B904D99" w:rsidP="4B904D99" w:rsidRDefault="4B904D99" w14:paraId="6AE63017" w14:textId="1946F21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15A71146" w:rsidP="4B904D99" w:rsidRDefault="15A71146" w14:paraId="31BD6C58" w14:textId="492912F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15A71146">
        <w:rPr/>
        <w:t xml:space="preserve">Disposal: Dispose </w:t>
      </w:r>
      <w:r w:rsidR="15A71146">
        <w:rPr/>
        <w:t>in accordance with</w:t>
      </w:r>
      <w:r w:rsidR="15A71146">
        <w:rPr/>
        <w:t xml:space="preserve"> all applicable federal, state, and local regulations. Recycling is encouraged. </w:t>
      </w:r>
    </w:p>
    <w:p w:rsidR="4B904D99" w:rsidP="4B904D99" w:rsidRDefault="4B904D99" w14:paraId="6D6DB969" w14:textId="6968E56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</w:p>
    <w:p w:rsidR="45F3138C" w:rsidP="4B904D99" w:rsidRDefault="45F3138C" w14:paraId="69FAFFDF" w14:textId="4FB110A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4B904D99" w:rsidR="45F3138C">
        <w:rPr>
          <w:b w:val="1"/>
          <w:bCs w:val="1"/>
        </w:rPr>
        <w:t>Section 6 – Special Protection Information</w:t>
      </w:r>
    </w:p>
    <w:p w:rsidR="45F3138C" w:rsidP="4B904D99" w:rsidRDefault="45F3138C" w14:paraId="69A5C13E" w14:textId="055BB0F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5F3138C">
        <w:rPr/>
        <w:t>Ventilation Requirements: Not necessary under normal conditions</w:t>
      </w:r>
    </w:p>
    <w:p w:rsidR="45F3138C" w:rsidP="4B904D99" w:rsidRDefault="45F3138C" w14:paraId="2DEFD88F" w14:textId="35E9A60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5F3138C">
        <w:rPr/>
        <w:t>Respiratory Protection: Not necessary under normal conditions</w:t>
      </w:r>
    </w:p>
    <w:p w:rsidR="45F3138C" w:rsidP="4B904D99" w:rsidRDefault="45F3138C" w14:paraId="22DAA80B" w14:textId="2358569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5F3138C">
        <w:rPr/>
        <w:t>Eye Protection: Not necessary under normal conditions</w:t>
      </w:r>
    </w:p>
    <w:p w:rsidR="45F3138C" w:rsidP="4B904D99" w:rsidRDefault="45F3138C" w14:paraId="3863E950" w14:textId="423651F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5F3138C">
        <w:rPr/>
        <w:t>Gloves: Not necessary under normal conditions</w:t>
      </w:r>
    </w:p>
    <w:p w:rsidR="4B904D99" w:rsidP="4B904D99" w:rsidRDefault="4B904D99" w14:paraId="556B9396" w14:textId="00770C7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</w:p>
    <w:p w:rsidR="45F3138C" w:rsidP="4B904D99" w:rsidRDefault="45F3138C" w14:paraId="6A43F704" w14:textId="48D1DD1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4B904D99" w:rsidR="45F3138C">
        <w:rPr>
          <w:b w:val="1"/>
          <w:bCs w:val="1"/>
        </w:rPr>
        <w:t>Section 7 – Regulatory Information</w:t>
      </w:r>
    </w:p>
    <w:p w:rsidR="45F3138C" w:rsidP="4B904D99" w:rsidRDefault="45F3138C" w14:paraId="2647203A" w14:textId="0C9CE3D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5F3138C">
        <w:rPr/>
        <w:t>SARA/Title III – As an article, this flashlight and its contents are not subject to the requirements of the Emergency Pl</w:t>
      </w:r>
      <w:r w:rsidR="7598C87A">
        <w:rPr/>
        <w:t xml:space="preserve">anning and Community Right-To-Know Act. </w:t>
      </w:r>
    </w:p>
    <w:p w:rsidR="4B904D99" w:rsidP="4B904D99" w:rsidRDefault="4B904D99" w14:paraId="2E501A5F" w14:textId="0B5211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32FB0C"/>
    <w:rsid w:val="03CE1D16"/>
    <w:rsid w:val="07EBB112"/>
    <w:rsid w:val="09DBECD1"/>
    <w:rsid w:val="0A267A60"/>
    <w:rsid w:val="0B2351D4"/>
    <w:rsid w:val="0D2CB5F0"/>
    <w:rsid w:val="0D30929D"/>
    <w:rsid w:val="0F2FB9A2"/>
    <w:rsid w:val="0F41CFD5"/>
    <w:rsid w:val="1126C605"/>
    <w:rsid w:val="121F31AF"/>
    <w:rsid w:val="1245536D"/>
    <w:rsid w:val="12B63717"/>
    <w:rsid w:val="13D82C11"/>
    <w:rsid w:val="1556D271"/>
    <w:rsid w:val="15727361"/>
    <w:rsid w:val="15A71146"/>
    <w:rsid w:val="171ADAF7"/>
    <w:rsid w:val="185C554A"/>
    <w:rsid w:val="19F9FE21"/>
    <w:rsid w:val="1A783550"/>
    <w:rsid w:val="1CADB3C0"/>
    <w:rsid w:val="1D172125"/>
    <w:rsid w:val="1E3B740D"/>
    <w:rsid w:val="1F4BB0F6"/>
    <w:rsid w:val="20D072F6"/>
    <w:rsid w:val="22BF91D3"/>
    <w:rsid w:val="23EEEB5B"/>
    <w:rsid w:val="2433403A"/>
    <w:rsid w:val="248CB5D4"/>
    <w:rsid w:val="24F3E925"/>
    <w:rsid w:val="2602ECEF"/>
    <w:rsid w:val="26A9E62E"/>
    <w:rsid w:val="276AE0FC"/>
    <w:rsid w:val="2886C5E9"/>
    <w:rsid w:val="2A3AC18D"/>
    <w:rsid w:val="2AA281BE"/>
    <w:rsid w:val="2CB6D255"/>
    <w:rsid w:val="2D5C8FF2"/>
    <w:rsid w:val="2EF6076D"/>
    <w:rsid w:val="2FBE2DA4"/>
    <w:rsid w:val="2FC6B22F"/>
    <w:rsid w:val="31B09733"/>
    <w:rsid w:val="321E21B2"/>
    <w:rsid w:val="36E7F0F5"/>
    <w:rsid w:val="3883C156"/>
    <w:rsid w:val="39650FEA"/>
    <w:rsid w:val="3A4200B4"/>
    <w:rsid w:val="3A677FB0"/>
    <w:rsid w:val="3ACD6334"/>
    <w:rsid w:val="3AD719BB"/>
    <w:rsid w:val="3B00E04B"/>
    <w:rsid w:val="3B0E78EF"/>
    <w:rsid w:val="3B813BF9"/>
    <w:rsid w:val="3E38810D"/>
    <w:rsid w:val="41E96B53"/>
    <w:rsid w:val="4428D6D2"/>
    <w:rsid w:val="4432FB0C"/>
    <w:rsid w:val="45D5FF37"/>
    <w:rsid w:val="45F3138C"/>
    <w:rsid w:val="49DCA8FB"/>
    <w:rsid w:val="49F47D38"/>
    <w:rsid w:val="4B904D99"/>
    <w:rsid w:val="4D21F54D"/>
    <w:rsid w:val="4D8D6F0C"/>
    <w:rsid w:val="524E2FE5"/>
    <w:rsid w:val="53780E74"/>
    <w:rsid w:val="538C84FA"/>
    <w:rsid w:val="53AB6663"/>
    <w:rsid w:val="5463E3E1"/>
    <w:rsid w:val="54EC028D"/>
    <w:rsid w:val="5513DED5"/>
    <w:rsid w:val="553F1D65"/>
    <w:rsid w:val="56DFE5F4"/>
    <w:rsid w:val="57A2382A"/>
    <w:rsid w:val="58D021B3"/>
    <w:rsid w:val="5A128E88"/>
    <w:rsid w:val="5A2E3F25"/>
    <w:rsid w:val="5A6BF214"/>
    <w:rsid w:val="5AD32565"/>
    <w:rsid w:val="5BCA0F86"/>
    <w:rsid w:val="5C6EF5C6"/>
    <w:rsid w:val="619BFC7A"/>
    <w:rsid w:val="62733E68"/>
    <w:rsid w:val="63A5409F"/>
    <w:rsid w:val="64523217"/>
    <w:rsid w:val="64B6A944"/>
    <w:rsid w:val="656DCA9E"/>
    <w:rsid w:val="664CBE53"/>
    <w:rsid w:val="673FB91F"/>
    <w:rsid w:val="680500FC"/>
    <w:rsid w:val="68250FB2"/>
    <w:rsid w:val="6AF136B5"/>
    <w:rsid w:val="6BB561C3"/>
    <w:rsid w:val="6E28D777"/>
    <w:rsid w:val="6FC28DDC"/>
    <w:rsid w:val="6FCD0F4A"/>
    <w:rsid w:val="705B7A6F"/>
    <w:rsid w:val="713D0CE7"/>
    <w:rsid w:val="71728E6C"/>
    <w:rsid w:val="7257625A"/>
    <w:rsid w:val="7327751C"/>
    <w:rsid w:val="7495FEFF"/>
    <w:rsid w:val="749F4D4B"/>
    <w:rsid w:val="74AA2F2E"/>
    <w:rsid w:val="750392BA"/>
    <w:rsid w:val="7598C87A"/>
    <w:rsid w:val="76A4EDB5"/>
    <w:rsid w:val="76D79614"/>
    <w:rsid w:val="77E1BDE2"/>
    <w:rsid w:val="78AA16EA"/>
    <w:rsid w:val="79697022"/>
    <w:rsid w:val="7A329373"/>
    <w:rsid w:val="7B195EA4"/>
    <w:rsid w:val="7BF0F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7899"/>
  <w15:chartTrackingRefBased/>
  <w15:docId w15:val="{E3C8E07F-C57C-45DD-B21C-F7FB20840E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da5f4ef662a04d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2023-05-17T16:08:45.9903336Z</dcterms:created>
  <dcterms:modified xsi:type="dcterms:W3CDTF">2023-05-17T18:50:35.1247724Z</dcterms:modified>
  <dc:creator>EcoCentricNow LLC</dc:creator>
  <lastModifiedBy>EcoCentricNow LLC</lastModifiedBy>
</coreProperties>
</file>